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5C901C" w14:textId="6133D345" w:rsidR="00EB5310" w:rsidRPr="00B55F82" w:rsidRDefault="00B55F82" w:rsidP="00B55F82">
      <w:pPr>
        <w:spacing w:line="276" w:lineRule="auto"/>
        <w:jc w:val="center"/>
        <w:rPr>
          <w:rFonts w:ascii="Calibri" w:hAnsi="Calibri" w:cs="Calibri"/>
          <w:sz w:val="32"/>
          <w:szCs w:val="32"/>
          <w:lang w:val="nl-NL"/>
        </w:rPr>
      </w:pPr>
      <w:r w:rsidRPr="00026B13">
        <w:rPr>
          <w:noProof/>
          <w:color w:val="000000" w:themeColor="text1"/>
          <w:lang w:val="nl-NL" w:eastAsia="nl-BE"/>
        </w:rPr>
        <w:drawing>
          <wp:anchor distT="0" distB="0" distL="0" distR="0" simplePos="0" relativeHeight="251659264" behindDoc="0" locked="0" layoutInCell="1" allowOverlap="1" wp14:anchorId="4FF1B252" wp14:editId="1F751967">
            <wp:simplePos x="0" y="0"/>
            <wp:positionH relativeFrom="page">
              <wp:posOffset>6174740</wp:posOffset>
            </wp:positionH>
            <wp:positionV relativeFrom="page">
              <wp:posOffset>240665</wp:posOffset>
            </wp:positionV>
            <wp:extent cx="1097915" cy="843915"/>
            <wp:effectExtent l="0" t="0" r="6985" b="0"/>
            <wp:wrapNone/>
            <wp:docPr id="1" name="Picture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Afbeelding met tekst, Lettertype, logo, Graphics&#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915" cy="843915"/>
                    </a:xfrm>
                    <a:prstGeom prst="rect">
                      <a:avLst/>
                    </a:prstGeom>
                    <a:noFill/>
                  </pic:spPr>
                </pic:pic>
              </a:graphicData>
            </a:graphic>
            <wp14:sizeRelH relativeFrom="page">
              <wp14:pctWidth>0</wp14:pctWidth>
            </wp14:sizeRelH>
            <wp14:sizeRelV relativeFrom="page">
              <wp14:pctHeight>0</wp14:pctHeight>
            </wp14:sizeRelV>
          </wp:anchor>
        </w:drawing>
      </w:r>
      <w:r w:rsidR="0012035D" w:rsidRPr="00B55F82">
        <w:rPr>
          <w:rFonts w:ascii="Calibri" w:eastAsia="Arial" w:hAnsi="Calibri" w:cs="Calibri"/>
          <w:b/>
          <w:bCs/>
          <w:spacing w:val="-10"/>
          <w:sz w:val="32"/>
          <w:szCs w:val="32"/>
          <w:lang w:val="nl-NL"/>
        </w:rPr>
        <w:t xml:space="preserve">Nieuwe DKV </w:t>
      </w:r>
      <w:proofErr w:type="spellStart"/>
      <w:r w:rsidR="0012035D" w:rsidRPr="00B55F82">
        <w:rPr>
          <w:rFonts w:ascii="Calibri" w:eastAsia="Arial" w:hAnsi="Calibri" w:cs="Calibri"/>
          <w:b/>
          <w:bCs/>
          <w:spacing w:val="-10"/>
          <w:sz w:val="32"/>
          <w:szCs w:val="32"/>
          <w:lang w:val="nl-NL"/>
        </w:rPr>
        <w:t>Mobility</w:t>
      </w:r>
      <w:proofErr w:type="spellEnd"/>
      <w:r w:rsidR="0012035D" w:rsidRPr="00B55F82">
        <w:rPr>
          <w:rFonts w:ascii="Calibri" w:eastAsia="Arial" w:hAnsi="Calibri" w:cs="Calibri"/>
          <w:b/>
          <w:bCs/>
          <w:spacing w:val="-10"/>
          <w:sz w:val="32"/>
          <w:szCs w:val="32"/>
          <w:lang w:val="nl-NL"/>
        </w:rPr>
        <w:t xml:space="preserve"> Carbon Monitor </w:t>
      </w:r>
      <w:r>
        <w:rPr>
          <w:rFonts w:ascii="Calibri" w:eastAsia="Arial" w:hAnsi="Calibri" w:cs="Calibri"/>
          <w:b/>
          <w:bCs/>
          <w:spacing w:val="-10"/>
          <w:sz w:val="32"/>
          <w:szCs w:val="32"/>
          <w:lang w:val="nl-NL"/>
        </w:rPr>
        <w:br/>
      </w:r>
      <w:r w:rsidR="0012035D" w:rsidRPr="00B55F82">
        <w:rPr>
          <w:rFonts w:ascii="Calibri" w:eastAsia="Arial" w:hAnsi="Calibri" w:cs="Calibri"/>
          <w:b/>
          <w:bCs/>
          <w:spacing w:val="-10"/>
          <w:sz w:val="32"/>
          <w:szCs w:val="32"/>
          <w:lang w:val="nl-NL"/>
        </w:rPr>
        <w:t>maakt CSRD-rapportage van emissies eenvoudiger</w:t>
      </w:r>
    </w:p>
    <w:p w14:paraId="1D1183CD" w14:textId="77777777" w:rsidR="00EB5310" w:rsidRPr="00B55F82" w:rsidRDefault="00EB5310" w:rsidP="00B55F82">
      <w:pPr>
        <w:spacing w:line="276" w:lineRule="auto"/>
        <w:ind w:right="1106"/>
        <w:rPr>
          <w:rFonts w:ascii="Calibri" w:eastAsia="Arial" w:hAnsi="Calibri" w:cs="Calibri"/>
          <w:b/>
          <w:bCs/>
          <w:lang w:val="nl-NL"/>
        </w:rPr>
      </w:pPr>
    </w:p>
    <w:p w14:paraId="43FA0C17" w14:textId="605B866A" w:rsidR="00EB5310" w:rsidRPr="00B55F82" w:rsidRDefault="0012035D" w:rsidP="00B55F82">
      <w:pPr>
        <w:spacing w:line="276" w:lineRule="auto"/>
        <w:rPr>
          <w:rFonts w:ascii="Calibri" w:hAnsi="Calibri" w:cs="Calibri"/>
          <w:lang w:val="nl-NL"/>
        </w:rPr>
      </w:pPr>
      <w:r w:rsidRPr="00B55F82">
        <w:rPr>
          <w:rFonts w:ascii="Calibri" w:eastAsia="Arial" w:hAnsi="Calibri" w:cs="Calibri"/>
          <w:b/>
          <w:bCs/>
          <w:lang w:val="nl-NL"/>
        </w:rPr>
        <w:t>Noordwijkerhout, 20 maart 2025</w:t>
      </w:r>
      <w:r w:rsidRPr="00B55F82">
        <w:rPr>
          <w:rFonts w:ascii="Calibri" w:eastAsia="Arial" w:hAnsi="Calibri" w:cs="Calibri"/>
          <w:lang w:val="nl-NL"/>
        </w:rPr>
        <w:t xml:space="preserve"> – </w:t>
      </w:r>
      <w:hyperlink r:id="rId7" w:history="1">
        <w:r w:rsidRPr="00B55F82">
          <w:rPr>
            <w:rFonts w:ascii="Calibri" w:eastAsia="Arial" w:hAnsi="Calibri" w:cs="Calibri"/>
            <w:color w:val="0000FF"/>
            <w:u w:val="single" w:color="0000FF"/>
            <w:lang w:val="nl-NL"/>
          </w:rPr>
          <w:t xml:space="preserve">DKV </w:t>
        </w:r>
        <w:proofErr w:type="spellStart"/>
        <w:r w:rsidRPr="00B55F82">
          <w:rPr>
            <w:rFonts w:ascii="Calibri" w:eastAsia="Arial" w:hAnsi="Calibri" w:cs="Calibri"/>
            <w:color w:val="0000FF"/>
            <w:u w:val="single" w:color="0000FF"/>
            <w:lang w:val="nl-NL"/>
          </w:rPr>
          <w:t>Mobility</w:t>
        </w:r>
        <w:proofErr w:type="spellEnd"/>
      </w:hyperlink>
      <w:r w:rsidRPr="00B55F82">
        <w:rPr>
          <w:rFonts w:ascii="Calibri" w:eastAsia="Arial" w:hAnsi="Calibri" w:cs="Calibri"/>
          <w:lang w:val="nl-NL"/>
        </w:rPr>
        <w:t xml:space="preserve">, het Europese B2B-platform voor betaaloplossingen onderweg, introduceert de DKV </w:t>
      </w:r>
      <w:proofErr w:type="spellStart"/>
      <w:r w:rsidRPr="00B55F82">
        <w:rPr>
          <w:rFonts w:ascii="Calibri" w:eastAsia="Arial" w:hAnsi="Calibri" w:cs="Calibri"/>
          <w:lang w:val="nl-NL"/>
        </w:rPr>
        <w:t>Mobility</w:t>
      </w:r>
      <w:proofErr w:type="spellEnd"/>
      <w:r w:rsidRPr="00B55F82">
        <w:rPr>
          <w:rFonts w:ascii="Calibri" w:eastAsia="Arial" w:hAnsi="Calibri" w:cs="Calibri"/>
          <w:lang w:val="nl-NL"/>
        </w:rPr>
        <w:t xml:space="preserve"> Carbon Monitor. Met deze innovatieve oplossing kunnen bedrijven betrouwbaar en eenvoudig de emissies van hun wagenpark documenteren en analyseren, zoals voorgeschreven door de CSRD (Corporate </w:t>
      </w:r>
      <w:proofErr w:type="spellStart"/>
      <w:r w:rsidRPr="00B55F82">
        <w:rPr>
          <w:rFonts w:ascii="Calibri" w:eastAsia="Arial" w:hAnsi="Calibri" w:cs="Calibri"/>
          <w:lang w:val="nl-NL"/>
        </w:rPr>
        <w:t>Sustainability</w:t>
      </w:r>
      <w:proofErr w:type="spellEnd"/>
      <w:r w:rsidRPr="00B55F82">
        <w:rPr>
          <w:rFonts w:ascii="Calibri" w:eastAsia="Arial" w:hAnsi="Calibri" w:cs="Calibri"/>
          <w:lang w:val="nl-NL"/>
        </w:rPr>
        <w:t xml:space="preserve"> Reporting Directive). Onder deze EU-richtlijn zijn steeds meer bedrijven verplicht om te rapporteren over de impact van hun activiteiten op mens en milieu, inclusief een gedetailleerde opgave van hun CO</w:t>
      </w:r>
      <w:r w:rsidR="00B55F82" w:rsidRPr="00B55F82">
        <w:rPr>
          <w:rFonts w:ascii="Calibri" w:eastAsia="Arial" w:hAnsi="Calibri" w:cs="Calibri"/>
          <w:vertAlign w:val="subscript"/>
          <w:lang w:val="nl-NL"/>
        </w:rPr>
        <w:t>2</w:t>
      </w:r>
      <w:r w:rsidRPr="00B55F82">
        <w:rPr>
          <w:rFonts w:ascii="Calibri" w:eastAsia="Arial" w:hAnsi="Calibri" w:cs="Calibri"/>
          <w:lang w:val="nl-NL"/>
        </w:rPr>
        <w:t>e</w:t>
      </w:r>
      <w:r w:rsidRPr="00B55F82">
        <w:rPr>
          <w:rFonts w:ascii="Calibri" w:eastAsia="Arial" w:hAnsi="Calibri" w:cs="Calibri"/>
          <w:color w:val="000000"/>
          <w:vertAlign w:val="superscript"/>
        </w:rPr>
        <w:footnoteReference w:id="1"/>
      </w:r>
      <w:r w:rsidRPr="00B55F82">
        <w:rPr>
          <w:rFonts w:ascii="Calibri" w:eastAsia="Arial" w:hAnsi="Calibri" w:cs="Calibri"/>
          <w:lang w:val="nl-NL"/>
        </w:rPr>
        <w:t xml:space="preserve">-footprint. </w:t>
      </w:r>
    </w:p>
    <w:p w14:paraId="1AE1068F" w14:textId="77777777" w:rsidR="00EB5310" w:rsidRPr="00B55F82" w:rsidRDefault="00EB5310" w:rsidP="00B55F82">
      <w:pPr>
        <w:spacing w:line="276" w:lineRule="auto"/>
        <w:rPr>
          <w:rFonts w:ascii="Calibri" w:eastAsia="Arial" w:hAnsi="Calibri" w:cs="Calibri"/>
          <w:lang w:val="nl-NL"/>
        </w:rPr>
      </w:pPr>
    </w:p>
    <w:p w14:paraId="45C554D2" w14:textId="14095474" w:rsidR="00EB5310" w:rsidRPr="00B55F82" w:rsidRDefault="0012035D" w:rsidP="00B55F82">
      <w:pPr>
        <w:spacing w:line="276" w:lineRule="auto"/>
        <w:rPr>
          <w:rFonts w:ascii="Calibri" w:hAnsi="Calibri" w:cs="Calibri"/>
          <w:lang w:val="nl-NL"/>
        </w:rPr>
      </w:pPr>
      <w:r w:rsidRPr="00B55F82">
        <w:rPr>
          <w:rFonts w:ascii="Calibri" w:eastAsia="Arial" w:hAnsi="Calibri" w:cs="Calibri"/>
          <w:b/>
          <w:bCs/>
          <w:lang w:val="nl-NL"/>
        </w:rPr>
        <w:t>Gedetailleerde CO</w:t>
      </w:r>
      <w:r w:rsidR="00B55F82" w:rsidRPr="00B55F82">
        <w:rPr>
          <w:rFonts w:ascii="Calibri" w:eastAsia="Arial" w:hAnsi="Calibri" w:cs="Calibri"/>
          <w:b/>
          <w:bCs/>
          <w:vertAlign w:val="subscript"/>
          <w:lang w:val="nl-NL"/>
        </w:rPr>
        <w:t>2</w:t>
      </w:r>
      <w:r w:rsidRPr="00B55F82">
        <w:rPr>
          <w:rFonts w:ascii="Calibri" w:eastAsia="Arial" w:hAnsi="Calibri" w:cs="Calibri"/>
          <w:b/>
          <w:bCs/>
          <w:lang w:val="nl-NL"/>
        </w:rPr>
        <w:t>2e-rapportage</w:t>
      </w:r>
    </w:p>
    <w:p w14:paraId="3E53D0F5" w14:textId="4DFFD9D6" w:rsidR="00EB5310" w:rsidRPr="00B55F82" w:rsidRDefault="0012035D" w:rsidP="00B55F82">
      <w:pPr>
        <w:spacing w:line="276" w:lineRule="auto"/>
        <w:rPr>
          <w:rFonts w:ascii="Calibri" w:hAnsi="Calibri" w:cs="Calibri"/>
          <w:lang w:val="nl-NL"/>
        </w:rPr>
      </w:pPr>
      <w:r w:rsidRPr="00B55F82">
        <w:rPr>
          <w:rFonts w:ascii="Calibri" w:eastAsia="Arial" w:hAnsi="Calibri" w:cs="Calibri"/>
          <w:lang w:val="nl-NL"/>
        </w:rPr>
        <w:t xml:space="preserve">De DKV </w:t>
      </w:r>
      <w:proofErr w:type="spellStart"/>
      <w:r w:rsidRPr="00B55F82">
        <w:rPr>
          <w:rFonts w:ascii="Calibri" w:eastAsia="Arial" w:hAnsi="Calibri" w:cs="Calibri"/>
          <w:lang w:val="nl-NL"/>
        </w:rPr>
        <w:t>Mobility</w:t>
      </w:r>
      <w:proofErr w:type="spellEnd"/>
      <w:r w:rsidRPr="00B55F82">
        <w:rPr>
          <w:rFonts w:ascii="Calibri" w:eastAsia="Arial" w:hAnsi="Calibri" w:cs="Calibri"/>
          <w:lang w:val="nl-NL"/>
        </w:rPr>
        <w:t xml:space="preserve"> Carbon Monitor biedt onder andere een CO</w:t>
      </w:r>
      <w:r w:rsidRPr="00B55F82">
        <w:rPr>
          <w:rFonts w:ascii="Calibri" w:eastAsia="Arial" w:hAnsi="Calibri" w:cs="Calibri"/>
          <w:vertAlign w:val="subscript"/>
          <w:lang w:val="nl-NL"/>
        </w:rPr>
        <w:t>2</w:t>
      </w:r>
      <w:r w:rsidRPr="00B55F82">
        <w:rPr>
          <w:rFonts w:ascii="Calibri" w:eastAsia="Arial" w:hAnsi="Calibri" w:cs="Calibri"/>
          <w:lang w:val="nl-NL"/>
        </w:rPr>
        <w:t xml:space="preserve">e-jaarbalans met gedetailleerde emissiegegevens per vloot en een methodiekrapportage die de onderliggende gegevens en berekeningsmethoden verduidelijkt. Bedrijven kunnen deze rapportage gebruiken om te voldoen aan de meldingsplicht richting hun accountant. </w:t>
      </w:r>
      <w:proofErr w:type="spellStart"/>
      <w:r w:rsidRPr="00B55F82">
        <w:rPr>
          <w:rFonts w:ascii="Calibri" w:eastAsia="Arial" w:hAnsi="Calibri" w:cs="Calibri"/>
          <w:lang w:val="nl-NL"/>
        </w:rPr>
        <w:t>Fleet</w:t>
      </w:r>
      <w:proofErr w:type="spellEnd"/>
      <w:r w:rsidRPr="00B55F82">
        <w:rPr>
          <w:rFonts w:ascii="Calibri" w:eastAsia="Arial" w:hAnsi="Calibri" w:cs="Calibri"/>
          <w:lang w:val="nl-NL"/>
        </w:rPr>
        <w:t>- en duurzaamheidsmanagers hebben toegang tot gedetailleerde informatie over de CO</w:t>
      </w:r>
      <w:r w:rsidR="00B55F82" w:rsidRPr="00B55F82">
        <w:rPr>
          <w:rFonts w:ascii="Calibri" w:eastAsia="Arial" w:hAnsi="Calibri" w:cs="Calibri"/>
          <w:vertAlign w:val="subscript"/>
          <w:lang w:val="nl-NL"/>
        </w:rPr>
        <w:t>2</w:t>
      </w:r>
      <w:r w:rsidRPr="00B55F82">
        <w:rPr>
          <w:rFonts w:ascii="Calibri" w:eastAsia="Arial" w:hAnsi="Calibri" w:cs="Calibri"/>
          <w:lang w:val="nl-NL"/>
        </w:rPr>
        <w:t xml:space="preserve">-emissies per land en per afzonderlijke tank- of laadtransactie, die zij ook kunnen exporteren. Dit is vooral relevant voor internationaal opererende bedrijven. De emissieregistratie van de DKV </w:t>
      </w:r>
      <w:proofErr w:type="spellStart"/>
      <w:r w:rsidRPr="00B55F82">
        <w:rPr>
          <w:rFonts w:ascii="Calibri" w:eastAsia="Arial" w:hAnsi="Calibri" w:cs="Calibri"/>
          <w:lang w:val="nl-NL"/>
        </w:rPr>
        <w:t>Mobility</w:t>
      </w:r>
      <w:proofErr w:type="spellEnd"/>
      <w:r w:rsidRPr="00B55F82">
        <w:rPr>
          <w:rFonts w:ascii="Calibri" w:eastAsia="Arial" w:hAnsi="Calibri" w:cs="Calibri"/>
          <w:lang w:val="nl-NL"/>
        </w:rPr>
        <w:t xml:space="preserve"> Carbon Monitor voldoet aan de CSRD-voorschriften en volgt de ‘Well-</w:t>
      </w:r>
      <w:proofErr w:type="spellStart"/>
      <w:r w:rsidRPr="00B55F82">
        <w:rPr>
          <w:rFonts w:ascii="Calibri" w:eastAsia="Arial" w:hAnsi="Calibri" w:cs="Calibri"/>
          <w:lang w:val="nl-NL"/>
        </w:rPr>
        <w:t>to</w:t>
      </w:r>
      <w:proofErr w:type="spellEnd"/>
      <w:r w:rsidRPr="00B55F82">
        <w:rPr>
          <w:rFonts w:ascii="Calibri" w:eastAsia="Arial" w:hAnsi="Calibri" w:cs="Calibri"/>
          <w:lang w:val="nl-NL"/>
        </w:rPr>
        <w:t>-Wheel’-benadering, waarbij de volledige brandstofketen wordt meegenomen – van de winning van grondstoffen tot het daadwerkelijke gebruik van de brandstof in het voertuig.</w:t>
      </w:r>
    </w:p>
    <w:p w14:paraId="30842A96" w14:textId="77777777" w:rsidR="00EB5310" w:rsidRPr="00B55F82" w:rsidRDefault="00EB5310" w:rsidP="00B55F82">
      <w:pPr>
        <w:spacing w:line="276" w:lineRule="auto"/>
        <w:rPr>
          <w:rFonts w:ascii="Calibri" w:eastAsia="Arial" w:hAnsi="Calibri" w:cs="Calibri"/>
          <w:lang w:val="nl-NL"/>
        </w:rPr>
      </w:pPr>
    </w:p>
    <w:p w14:paraId="59627F54" w14:textId="37ADD7C6" w:rsidR="00EB5310" w:rsidRPr="00B55F82" w:rsidRDefault="0012035D" w:rsidP="00B55F82">
      <w:pPr>
        <w:spacing w:line="276" w:lineRule="auto"/>
        <w:rPr>
          <w:rFonts w:ascii="Calibri" w:hAnsi="Calibri" w:cs="Calibri"/>
          <w:lang w:val="nl-NL"/>
        </w:rPr>
      </w:pPr>
      <w:r w:rsidRPr="00B55F82">
        <w:rPr>
          <w:rFonts w:ascii="Calibri" w:eastAsia="Arial" w:hAnsi="Calibri" w:cs="Calibri"/>
          <w:lang w:val="nl-NL"/>
        </w:rPr>
        <w:t>Ook al valt een kleinere onderneming nu nog niet onder de nieuwe rapportageplicht, het kan zijn dat zakelijke relaties, bijvoorbeeld bij de aankoop van goederen of diensten, eerst informatie over emissies willen ontvangen. Dit komt doordat een onderneming die wel onder de CSRD-wetgeving valt, verplicht is om haar CO</w:t>
      </w:r>
      <w:r w:rsidR="00B55F82" w:rsidRPr="00B55F82">
        <w:rPr>
          <w:rFonts w:ascii="Calibri" w:eastAsia="Arial" w:hAnsi="Calibri" w:cs="Calibri"/>
          <w:vertAlign w:val="subscript"/>
          <w:lang w:val="nl-NL"/>
        </w:rPr>
        <w:t>2</w:t>
      </w:r>
      <w:r w:rsidRPr="00B55F82">
        <w:rPr>
          <w:rFonts w:ascii="Calibri" w:eastAsia="Arial" w:hAnsi="Calibri" w:cs="Calibri"/>
          <w:lang w:val="nl-NL"/>
        </w:rPr>
        <w:t xml:space="preserve">-emissies binnen de waardeketen te rapporteren volgens strikt gedefinieerde EU-normen (ESRS). </w:t>
      </w:r>
    </w:p>
    <w:p w14:paraId="7E54FE3A" w14:textId="77777777" w:rsidR="00EB5310" w:rsidRPr="00B55F82" w:rsidRDefault="00EB5310" w:rsidP="00B55F82">
      <w:pPr>
        <w:spacing w:line="276" w:lineRule="auto"/>
        <w:rPr>
          <w:rFonts w:ascii="Calibri" w:eastAsia="Arial" w:hAnsi="Calibri" w:cs="Calibri"/>
          <w:lang w:val="nl-NL"/>
        </w:rPr>
      </w:pPr>
    </w:p>
    <w:p w14:paraId="18FA0050" w14:textId="713EB052" w:rsidR="00EB5310" w:rsidRPr="00B55F82" w:rsidRDefault="0012035D" w:rsidP="00B55F82">
      <w:pPr>
        <w:spacing w:line="276" w:lineRule="auto"/>
        <w:rPr>
          <w:rFonts w:ascii="Calibri" w:hAnsi="Calibri" w:cs="Calibri"/>
          <w:lang w:val="nl-NL"/>
        </w:rPr>
      </w:pPr>
      <w:r w:rsidRPr="00B55F82">
        <w:rPr>
          <w:rFonts w:ascii="Calibri" w:eastAsia="Arial" w:hAnsi="Calibri" w:cs="Calibri"/>
          <w:lang w:val="nl-NL"/>
        </w:rPr>
        <w:t xml:space="preserve">“Of het nu gaat om een grote of kleine onderneming: de almaar strengere eisen voor duurzaamheidsrapportage betekenen een steeds grotere uitdaging voor veel bedrijven omdat ze de benodigde hulpmiddelen voor betrouwbare opgave van hun vlootemissies niet in huis hebben”, zegt Markus </w:t>
      </w:r>
      <w:proofErr w:type="spellStart"/>
      <w:r w:rsidRPr="00B55F82">
        <w:rPr>
          <w:rFonts w:ascii="Calibri" w:eastAsia="Arial" w:hAnsi="Calibri" w:cs="Calibri"/>
          <w:lang w:val="nl-NL"/>
        </w:rPr>
        <w:t>Präßl</w:t>
      </w:r>
      <w:proofErr w:type="spellEnd"/>
      <w:r w:rsidRPr="00B55F82">
        <w:rPr>
          <w:rFonts w:ascii="Calibri" w:eastAsia="Arial" w:hAnsi="Calibri" w:cs="Calibri"/>
          <w:lang w:val="nl-NL"/>
        </w:rPr>
        <w:t xml:space="preserve">, Managing Director Sales &amp; Customer </w:t>
      </w:r>
      <w:proofErr w:type="spellStart"/>
      <w:r w:rsidRPr="00B55F82">
        <w:rPr>
          <w:rFonts w:ascii="Calibri" w:eastAsia="Arial" w:hAnsi="Calibri" w:cs="Calibri"/>
          <w:lang w:val="nl-NL"/>
        </w:rPr>
        <w:t>Success</w:t>
      </w:r>
      <w:proofErr w:type="spellEnd"/>
      <w:r w:rsidRPr="00B55F82">
        <w:rPr>
          <w:rFonts w:ascii="Calibri" w:eastAsia="Arial" w:hAnsi="Calibri" w:cs="Calibri"/>
          <w:lang w:val="nl-NL"/>
        </w:rPr>
        <w:t xml:space="preserve"> bij DKV </w:t>
      </w:r>
      <w:proofErr w:type="spellStart"/>
      <w:r w:rsidRPr="00B55F82">
        <w:rPr>
          <w:rFonts w:ascii="Calibri" w:eastAsia="Arial" w:hAnsi="Calibri" w:cs="Calibri"/>
          <w:lang w:val="nl-NL"/>
        </w:rPr>
        <w:t>Mobility</w:t>
      </w:r>
      <w:proofErr w:type="spellEnd"/>
      <w:r w:rsidRPr="00B55F82">
        <w:rPr>
          <w:rFonts w:ascii="Calibri" w:eastAsia="Arial" w:hAnsi="Calibri" w:cs="Calibri"/>
          <w:lang w:val="nl-NL"/>
        </w:rPr>
        <w:t xml:space="preserve">. “Ondernemingen met betrouwbare emissiedata van hun wagenpark zullen de komende jaren een beslissende concurrentievoorsprong hebben. Met de DKV </w:t>
      </w:r>
      <w:proofErr w:type="spellStart"/>
      <w:r w:rsidRPr="00B55F82">
        <w:rPr>
          <w:rFonts w:ascii="Calibri" w:eastAsia="Arial" w:hAnsi="Calibri" w:cs="Calibri"/>
          <w:lang w:val="nl-NL"/>
        </w:rPr>
        <w:t>Mobility</w:t>
      </w:r>
      <w:proofErr w:type="spellEnd"/>
      <w:r w:rsidRPr="00B55F82">
        <w:rPr>
          <w:rFonts w:ascii="Calibri" w:eastAsia="Arial" w:hAnsi="Calibri" w:cs="Calibri"/>
          <w:lang w:val="nl-NL"/>
        </w:rPr>
        <w:t xml:space="preserve"> Carbon Monitor bieden we de klant een praktische emissie</w:t>
      </w:r>
      <w:r w:rsidR="00B55F82" w:rsidRPr="00B55F82">
        <w:rPr>
          <w:rFonts w:ascii="Calibri" w:eastAsia="Arial" w:hAnsi="Calibri" w:cs="Calibri"/>
          <w:lang w:val="nl-NL"/>
        </w:rPr>
        <w:t>-</w:t>
      </w:r>
      <w:r w:rsidRPr="00B55F82">
        <w:rPr>
          <w:rFonts w:ascii="Calibri" w:eastAsia="Arial" w:hAnsi="Calibri" w:cs="Calibri"/>
          <w:lang w:val="nl-NL"/>
        </w:rPr>
        <w:t>rapportagetool waarmee ze een voortrekkersrol kunnen innemen.</w:t>
      </w:r>
      <w:r w:rsidRPr="00B55F82">
        <w:rPr>
          <w:rFonts w:ascii="Calibri" w:hAnsi="Calibri" w:cs="Calibri"/>
          <w:lang w:val="nl-NL"/>
        </w:rPr>
        <w:br/>
      </w:r>
    </w:p>
    <w:p w14:paraId="49EAC0B9" w14:textId="2CFCAE5D" w:rsidR="00EB5310" w:rsidRPr="00B55F82" w:rsidRDefault="0012035D" w:rsidP="00B55F82">
      <w:pPr>
        <w:spacing w:line="276" w:lineRule="auto"/>
        <w:rPr>
          <w:rFonts w:ascii="Calibri" w:hAnsi="Calibri" w:cs="Calibri"/>
          <w:lang w:val="nl-NL"/>
        </w:rPr>
      </w:pPr>
      <w:r w:rsidRPr="00B55F82">
        <w:rPr>
          <w:rFonts w:ascii="Calibri" w:eastAsia="Arial" w:hAnsi="Calibri" w:cs="Calibri"/>
          <w:lang w:val="nl-NL"/>
        </w:rPr>
        <w:t xml:space="preserve">De DKV </w:t>
      </w:r>
      <w:proofErr w:type="spellStart"/>
      <w:r w:rsidRPr="00B55F82">
        <w:rPr>
          <w:rFonts w:ascii="Calibri" w:eastAsia="Arial" w:hAnsi="Calibri" w:cs="Calibri"/>
          <w:lang w:val="nl-NL"/>
        </w:rPr>
        <w:t>Mobility</w:t>
      </w:r>
      <w:proofErr w:type="spellEnd"/>
      <w:r w:rsidRPr="00B55F82">
        <w:rPr>
          <w:rFonts w:ascii="Calibri" w:eastAsia="Arial" w:hAnsi="Calibri" w:cs="Calibri"/>
          <w:lang w:val="nl-NL"/>
        </w:rPr>
        <w:t xml:space="preserve"> Carbon Monitor maakt deel uit van het DKV Analytics Premium pakket, dat via het digitale klantportaal van DKV </w:t>
      </w:r>
      <w:proofErr w:type="spellStart"/>
      <w:r w:rsidRPr="00B55F82">
        <w:rPr>
          <w:rFonts w:ascii="Calibri" w:eastAsia="Arial" w:hAnsi="Calibri" w:cs="Calibri"/>
          <w:lang w:val="nl-NL"/>
        </w:rPr>
        <w:t>Mobility</w:t>
      </w:r>
      <w:proofErr w:type="spellEnd"/>
      <w:r w:rsidRPr="00B55F82">
        <w:rPr>
          <w:rFonts w:ascii="Calibri" w:eastAsia="Arial" w:hAnsi="Calibri" w:cs="Calibri"/>
          <w:lang w:val="nl-NL"/>
        </w:rPr>
        <w:t xml:space="preserve"> beschikbaar is.</w:t>
      </w:r>
      <w:r w:rsidR="00BD17EC" w:rsidRPr="00B55F82">
        <w:rPr>
          <w:rFonts w:ascii="Calibri" w:eastAsia="Arial" w:hAnsi="Calibri" w:cs="Calibri"/>
          <w:lang w:val="nl-NL"/>
        </w:rPr>
        <w:br/>
      </w:r>
      <w:r w:rsidR="00BD17EC" w:rsidRPr="00B55F82">
        <w:rPr>
          <w:rFonts w:ascii="Calibri" w:eastAsia="Arial" w:hAnsi="Calibri" w:cs="Calibri"/>
          <w:lang w:val="nl-NL"/>
        </w:rPr>
        <w:br/>
        <w:t>De EU CSRD is sinds 05.01.2023 van kracht en vervangt de voorgaande NRFR (Non Financial Reporting Directive) richtlijn, wat een aanzienlijke aanscherping van de eisen impliceert. Doel van de CSRD is het vergroten van de rekenschap die Europese bedrijven moeten afleggen ten aanzien van duurzaamheidsaspecten en het introduceren van verplichte rapportagenormen op EU-niveau. Het is een stap die duurzaamheids- en financiële rapportage nader tot elkaar brengt.</w:t>
      </w:r>
    </w:p>
    <w:p w14:paraId="377C6E10" w14:textId="77777777" w:rsidR="00B55F82" w:rsidRDefault="00B55F82" w:rsidP="00B55F82">
      <w:pPr>
        <w:spacing w:line="276" w:lineRule="auto"/>
        <w:rPr>
          <w:rFonts w:ascii="Calibri" w:eastAsia="Arial" w:hAnsi="Calibri" w:cs="Calibri"/>
          <w:b/>
          <w:bCs/>
          <w:lang w:val="nl-NL"/>
        </w:rPr>
      </w:pPr>
    </w:p>
    <w:p w14:paraId="73260C54" w14:textId="77777777" w:rsidR="00B55F82" w:rsidRDefault="00B55F82" w:rsidP="00B55F82">
      <w:pPr>
        <w:spacing w:line="276" w:lineRule="auto"/>
        <w:rPr>
          <w:rFonts w:ascii="Calibri" w:eastAsia="Arial" w:hAnsi="Calibri" w:cs="Calibri"/>
          <w:b/>
          <w:bCs/>
          <w:lang w:val="nl-NL"/>
        </w:rPr>
      </w:pPr>
    </w:p>
    <w:p w14:paraId="29778DED" w14:textId="77777777" w:rsidR="00B55F82" w:rsidRDefault="00B55F82" w:rsidP="00B55F82">
      <w:pPr>
        <w:spacing w:line="276" w:lineRule="auto"/>
        <w:rPr>
          <w:rFonts w:ascii="Calibri" w:eastAsia="Arial" w:hAnsi="Calibri" w:cs="Calibri"/>
          <w:b/>
          <w:bCs/>
          <w:lang w:val="nl-NL"/>
        </w:rPr>
      </w:pPr>
      <w:r>
        <w:rPr>
          <w:rFonts w:ascii="Calibri" w:eastAsia="Arial" w:hAnsi="Calibri" w:cs="Calibri"/>
          <w:b/>
          <w:bCs/>
          <w:lang w:val="nl-NL"/>
        </w:rPr>
        <w:lastRenderedPageBreak/>
        <w:t>Bij de afbeelding:</w:t>
      </w:r>
    </w:p>
    <w:p w14:paraId="2B204E0C" w14:textId="1672C08B" w:rsidR="00B55F82" w:rsidRDefault="00B55F82" w:rsidP="00B55F82">
      <w:pPr>
        <w:spacing w:line="276" w:lineRule="auto"/>
        <w:rPr>
          <w:rFonts w:ascii="Calibri" w:eastAsia="Arial" w:hAnsi="Calibri" w:cs="Calibri"/>
          <w:b/>
          <w:bCs/>
          <w:lang w:val="nl-NL"/>
        </w:rPr>
      </w:pPr>
      <w:r>
        <w:rPr>
          <w:rFonts w:ascii="Calibri" w:eastAsia="Arial" w:hAnsi="Calibri" w:cs="Calibri"/>
          <w:b/>
          <w:bCs/>
          <w:noProof/>
          <w:lang w:val="nl-NL"/>
        </w:rPr>
        <w:drawing>
          <wp:inline distT="0" distB="0" distL="0" distR="0" wp14:anchorId="4B516262" wp14:editId="43C6AE7B">
            <wp:extent cx="2355850" cy="2355850"/>
            <wp:effectExtent l="0" t="0" r="6350" b="6350"/>
            <wp:docPr id="938072196" name="Afbeelding 1" descr="Afbeelding met computer, persoon, computer,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072196" name="Afbeelding 1" descr="Afbeelding met computer, persoon, computer, tekst&#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2355850"/>
                    </a:xfrm>
                    <a:prstGeom prst="rect">
                      <a:avLst/>
                    </a:prstGeom>
                  </pic:spPr>
                </pic:pic>
              </a:graphicData>
            </a:graphic>
          </wp:inline>
        </w:drawing>
      </w:r>
    </w:p>
    <w:p w14:paraId="4499422B" w14:textId="77777777" w:rsidR="00B55F82" w:rsidRPr="00B55F82" w:rsidRDefault="00B55F82" w:rsidP="00B55F82">
      <w:pPr>
        <w:ind w:right="1106"/>
        <w:rPr>
          <w:rFonts w:ascii="Calibri" w:hAnsi="Calibri" w:cs="Calibri"/>
          <w:i/>
          <w:iCs/>
          <w:lang w:val="nl-NL"/>
        </w:rPr>
      </w:pPr>
      <w:r w:rsidRPr="00B55F82">
        <w:rPr>
          <w:rFonts w:ascii="Calibri" w:hAnsi="Calibri" w:cs="Calibri"/>
          <w:i/>
          <w:iCs/>
          <w:lang w:val="nl-NL"/>
        </w:rPr>
        <w:t xml:space="preserve">CSRD-rapportage nu eenvoudiger met de nieuwe DKV </w:t>
      </w:r>
      <w:proofErr w:type="spellStart"/>
      <w:r w:rsidRPr="00B55F82">
        <w:rPr>
          <w:rFonts w:ascii="Calibri" w:hAnsi="Calibri" w:cs="Calibri"/>
          <w:i/>
          <w:iCs/>
          <w:lang w:val="nl-NL"/>
        </w:rPr>
        <w:t>Mobility</w:t>
      </w:r>
      <w:proofErr w:type="spellEnd"/>
      <w:r w:rsidRPr="00B55F82">
        <w:rPr>
          <w:rFonts w:ascii="Calibri" w:hAnsi="Calibri" w:cs="Calibri"/>
          <w:i/>
          <w:iCs/>
          <w:lang w:val="nl-NL"/>
        </w:rPr>
        <w:t xml:space="preserve"> Carbon Monitor (foto DKV </w:t>
      </w:r>
      <w:proofErr w:type="spellStart"/>
      <w:r w:rsidRPr="00B55F82">
        <w:rPr>
          <w:rFonts w:ascii="Calibri" w:hAnsi="Calibri" w:cs="Calibri"/>
          <w:i/>
          <w:iCs/>
          <w:lang w:val="nl-NL"/>
        </w:rPr>
        <w:t>Mobility</w:t>
      </w:r>
      <w:proofErr w:type="spellEnd"/>
      <w:r w:rsidRPr="00B55F82">
        <w:rPr>
          <w:rFonts w:ascii="Calibri" w:hAnsi="Calibri" w:cs="Calibri"/>
          <w:i/>
          <w:iCs/>
          <w:lang w:val="nl-NL"/>
        </w:rPr>
        <w:t>)</w:t>
      </w:r>
    </w:p>
    <w:p w14:paraId="34A54D75" w14:textId="77777777" w:rsidR="00B55F82" w:rsidRDefault="00B55F82" w:rsidP="00B55F82">
      <w:pPr>
        <w:spacing w:line="276" w:lineRule="auto"/>
        <w:rPr>
          <w:rFonts w:ascii="Calibri" w:eastAsia="Arial" w:hAnsi="Calibri" w:cs="Calibri"/>
          <w:b/>
          <w:bCs/>
          <w:lang w:val="nl-NL"/>
        </w:rPr>
      </w:pPr>
    </w:p>
    <w:p w14:paraId="0154C0DB" w14:textId="77777777" w:rsidR="00B55F82" w:rsidRDefault="00B55F82" w:rsidP="00B55F82">
      <w:pPr>
        <w:spacing w:line="276" w:lineRule="auto"/>
        <w:rPr>
          <w:rFonts w:ascii="Calibri" w:eastAsia="Arial" w:hAnsi="Calibri" w:cs="Calibri"/>
          <w:b/>
          <w:bCs/>
          <w:lang w:val="nl-NL"/>
        </w:rPr>
      </w:pPr>
    </w:p>
    <w:p w14:paraId="43EBAD11" w14:textId="115EEA72" w:rsidR="00EB5310" w:rsidRPr="00B55F82" w:rsidRDefault="0012035D" w:rsidP="00B55F82">
      <w:pPr>
        <w:spacing w:line="276" w:lineRule="auto"/>
        <w:rPr>
          <w:rFonts w:ascii="Calibri" w:hAnsi="Calibri" w:cs="Calibri"/>
          <w:lang w:val="nl-NL"/>
        </w:rPr>
      </w:pPr>
      <w:r w:rsidRPr="00B55F82">
        <w:rPr>
          <w:rFonts w:ascii="Calibri" w:eastAsia="Arial" w:hAnsi="Calibri" w:cs="Calibri"/>
          <w:b/>
          <w:bCs/>
          <w:lang w:val="nl-NL"/>
        </w:rPr>
        <w:t xml:space="preserve">Over DKV </w:t>
      </w:r>
      <w:proofErr w:type="spellStart"/>
      <w:r w:rsidRPr="00B55F82">
        <w:rPr>
          <w:rFonts w:ascii="Calibri" w:eastAsia="Arial" w:hAnsi="Calibri" w:cs="Calibri"/>
          <w:b/>
          <w:bCs/>
          <w:lang w:val="nl-NL"/>
        </w:rPr>
        <w:t>Mobility</w:t>
      </w:r>
      <w:proofErr w:type="spellEnd"/>
      <w:r w:rsidRPr="00B55F82">
        <w:rPr>
          <w:rFonts w:ascii="Calibri" w:eastAsia="Arial" w:hAnsi="Calibri" w:cs="Calibri"/>
          <w:b/>
          <w:bCs/>
          <w:lang w:val="nl-NL"/>
        </w:rPr>
        <w:t>*</w:t>
      </w:r>
    </w:p>
    <w:p w14:paraId="435B308E" w14:textId="77777777" w:rsidR="00EB5310" w:rsidRPr="00B55F82" w:rsidRDefault="0012035D" w:rsidP="00B55F82">
      <w:pPr>
        <w:spacing w:line="276" w:lineRule="auto"/>
        <w:rPr>
          <w:rFonts w:ascii="Calibri" w:hAnsi="Calibri" w:cs="Calibri"/>
          <w:lang w:val="nl-NL"/>
        </w:rPr>
      </w:pPr>
      <w:r w:rsidRPr="00B55F82">
        <w:rPr>
          <w:rFonts w:ascii="Calibri" w:eastAsia="Arial" w:hAnsi="Calibri" w:cs="Calibri"/>
          <w:lang w:val="nl-NL"/>
        </w:rPr>
        <w:t xml:space="preserve">DKV </w:t>
      </w:r>
      <w:proofErr w:type="spellStart"/>
      <w:r w:rsidRPr="00B55F82">
        <w:rPr>
          <w:rFonts w:ascii="Calibri" w:eastAsia="Arial" w:hAnsi="Calibri" w:cs="Calibri"/>
          <w:lang w:val="nl-NL"/>
        </w:rPr>
        <w:t>Mobility</w:t>
      </w:r>
      <w:proofErr w:type="spellEnd"/>
      <w:r w:rsidRPr="00B55F82">
        <w:rPr>
          <w:rFonts w:ascii="Calibri" w:eastAsia="Arial" w:hAnsi="Calibri" w:cs="Calibri"/>
          <w:lang w:val="nl-NL"/>
        </w:rPr>
        <w:t xml:space="preserve"> kent een groeihistorie van ~90 jaar en is met ~2.500 medewerkers en ~394.000 actieve afnemers in meer dan 50 servicelanden Europa’s toonaangevende B2B-platform voor betaaloplossingen onderweg. Wij bieden toegang tot Europa’s grootste energie-onafhankelijke acceptatienetwerk met daarin ~69.000 conventionele tankstations, ~893.000 elektrische laadpunten en ~24.000 alternatieve brandstofstations. Verder is DKV </w:t>
      </w:r>
      <w:proofErr w:type="spellStart"/>
      <w:r w:rsidRPr="00B55F82">
        <w:rPr>
          <w:rFonts w:ascii="Calibri" w:eastAsia="Arial" w:hAnsi="Calibri" w:cs="Calibri"/>
          <w:lang w:val="nl-NL"/>
        </w:rPr>
        <w:t>Mobility</w:t>
      </w:r>
      <w:proofErr w:type="spellEnd"/>
      <w:r w:rsidRPr="00B55F82">
        <w:rPr>
          <w:rFonts w:ascii="Calibri" w:eastAsia="Arial" w:hAnsi="Calibri" w:cs="Calibri"/>
          <w:lang w:val="nl-NL"/>
        </w:rPr>
        <w:t xml:space="preserve"> prominent aanbieder van Europese toloplossingen, mobiliteitsoplossingen waaronder voertuigservice bij ~35.000 </w:t>
      </w:r>
      <w:proofErr w:type="gramStart"/>
      <w:r w:rsidRPr="00B55F82">
        <w:rPr>
          <w:rFonts w:ascii="Calibri" w:eastAsia="Arial" w:hAnsi="Calibri" w:cs="Calibri"/>
          <w:lang w:val="nl-NL"/>
        </w:rPr>
        <w:t>acceptatiepunten</w:t>
      </w:r>
      <w:proofErr w:type="gramEnd"/>
      <w:r w:rsidRPr="00B55F82">
        <w:rPr>
          <w:rFonts w:ascii="Calibri" w:eastAsia="Arial" w:hAnsi="Calibri" w:cs="Calibri"/>
          <w:lang w:val="nl-NL"/>
        </w:rPr>
        <w:t xml:space="preserve"> en innovatieve digitale oplossingen. Afgaande op onze omzet aan financiële oplossingen is DKV </w:t>
      </w:r>
      <w:proofErr w:type="spellStart"/>
      <w:r w:rsidRPr="00B55F82">
        <w:rPr>
          <w:rFonts w:ascii="Calibri" w:eastAsia="Arial" w:hAnsi="Calibri" w:cs="Calibri"/>
          <w:lang w:val="nl-NL"/>
        </w:rPr>
        <w:t>Mobility</w:t>
      </w:r>
      <w:proofErr w:type="spellEnd"/>
      <w:r w:rsidRPr="00B55F82">
        <w:rPr>
          <w:rFonts w:ascii="Calibri" w:eastAsia="Arial" w:hAnsi="Calibri" w:cs="Calibri"/>
          <w:lang w:val="nl-NL"/>
        </w:rPr>
        <w:t xml:space="preserve"> prominent op het gebied van btw-restitutieservice. In 2023 behaalde DKV </w:t>
      </w:r>
      <w:proofErr w:type="spellStart"/>
      <w:r w:rsidRPr="00B55F82">
        <w:rPr>
          <w:rFonts w:ascii="Calibri" w:eastAsia="Arial" w:hAnsi="Calibri" w:cs="Calibri"/>
          <w:lang w:val="nl-NL"/>
        </w:rPr>
        <w:t>Mobility</w:t>
      </w:r>
      <w:proofErr w:type="spellEnd"/>
      <w:r w:rsidRPr="00B55F82">
        <w:rPr>
          <w:rFonts w:ascii="Calibri" w:eastAsia="Arial" w:hAnsi="Calibri" w:cs="Calibri"/>
          <w:lang w:val="nl-NL"/>
        </w:rPr>
        <w:t xml:space="preserve"> een omzet van 714 </w:t>
      </w:r>
      <w:proofErr w:type="gramStart"/>
      <w:r w:rsidRPr="00B55F82">
        <w:rPr>
          <w:rFonts w:ascii="Calibri" w:eastAsia="Arial" w:hAnsi="Calibri" w:cs="Calibri"/>
          <w:lang w:val="nl-NL"/>
        </w:rPr>
        <w:t>miljoen</w:t>
      </w:r>
      <w:proofErr w:type="gramEnd"/>
      <w:r w:rsidRPr="00B55F82">
        <w:rPr>
          <w:rFonts w:ascii="Calibri" w:eastAsia="Arial" w:hAnsi="Calibri" w:cs="Calibri"/>
          <w:lang w:val="nl-NL"/>
        </w:rPr>
        <w:t xml:space="preserve"> euro bij een transactievolume van 17 miljard euro, met als corporate </w:t>
      </w:r>
      <w:proofErr w:type="spellStart"/>
      <w:r w:rsidRPr="00B55F82">
        <w:rPr>
          <w:rFonts w:ascii="Calibri" w:eastAsia="Arial" w:hAnsi="Calibri" w:cs="Calibri"/>
          <w:lang w:val="nl-NL"/>
        </w:rPr>
        <w:t>purpose</w:t>
      </w:r>
      <w:proofErr w:type="spellEnd"/>
      <w:r w:rsidRPr="00B55F82">
        <w:rPr>
          <w:rFonts w:ascii="Calibri" w:eastAsia="Arial" w:hAnsi="Calibri" w:cs="Calibri"/>
          <w:lang w:val="nl-NL"/>
        </w:rPr>
        <w:t xml:space="preserve">: </w:t>
      </w:r>
      <w:proofErr w:type="spellStart"/>
      <w:r w:rsidRPr="00B55F82">
        <w:rPr>
          <w:rFonts w:ascii="Calibri" w:eastAsia="Arial" w:hAnsi="Calibri" w:cs="Calibri"/>
          <w:lang w:val="nl-NL"/>
        </w:rPr>
        <w:t>To</w:t>
      </w:r>
      <w:proofErr w:type="spellEnd"/>
      <w:r w:rsidRPr="00B55F82">
        <w:rPr>
          <w:rFonts w:ascii="Calibri" w:eastAsia="Arial" w:hAnsi="Calibri" w:cs="Calibri"/>
          <w:lang w:val="nl-NL"/>
        </w:rPr>
        <w:t xml:space="preserve"> drive </w:t>
      </w:r>
      <w:proofErr w:type="spellStart"/>
      <w:r w:rsidRPr="00B55F82">
        <w:rPr>
          <w:rFonts w:ascii="Calibri" w:eastAsia="Arial" w:hAnsi="Calibri" w:cs="Calibri"/>
          <w:lang w:val="nl-NL"/>
        </w:rPr>
        <w:t>the</w:t>
      </w:r>
      <w:proofErr w:type="spellEnd"/>
      <w:r w:rsidRPr="00B55F82">
        <w:rPr>
          <w:rFonts w:ascii="Calibri" w:eastAsia="Arial" w:hAnsi="Calibri" w:cs="Calibri"/>
          <w:lang w:val="nl-NL"/>
        </w:rPr>
        <w:t xml:space="preserve"> </w:t>
      </w:r>
      <w:proofErr w:type="spellStart"/>
      <w:r w:rsidRPr="00B55F82">
        <w:rPr>
          <w:rFonts w:ascii="Calibri" w:eastAsia="Arial" w:hAnsi="Calibri" w:cs="Calibri"/>
          <w:lang w:val="nl-NL"/>
        </w:rPr>
        <w:t>transition</w:t>
      </w:r>
      <w:proofErr w:type="spellEnd"/>
      <w:r w:rsidRPr="00B55F82">
        <w:rPr>
          <w:rFonts w:ascii="Calibri" w:eastAsia="Arial" w:hAnsi="Calibri" w:cs="Calibri"/>
          <w:lang w:val="nl-NL"/>
        </w:rPr>
        <w:t xml:space="preserve"> </w:t>
      </w:r>
      <w:proofErr w:type="spellStart"/>
      <w:r w:rsidRPr="00B55F82">
        <w:rPr>
          <w:rFonts w:ascii="Calibri" w:eastAsia="Arial" w:hAnsi="Calibri" w:cs="Calibri"/>
          <w:lang w:val="nl-NL"/>
        </w:rPr>
        <w:t>towards</w:t>
      </w:r>
      <w:proofErr w:type="spellEnd"/>
      <w:r w:rsidRPr="00B55F82">
        <w:rPr>
          <w:rFonts w:ascii="Calibri" w:eastAsia="Arial" w:hAnsi="Calibri" w:cs="Calibri"/>
          <w:lang w:val="nl-NL"/>
        </w:rPr>
        <w:t xml:space="preserve"> </w:t>
      </w:r>
      <w:proofErr w:type="spellStart"/>
      <w:r w:rsidRPr="00B55F82">
        <w:rPr>
          <w:rFonts w:ascii="Calibri" w:eastAsia="Arial" w:hAnsi="Calibri" w:cs="Calibri"/>
          <w:lang w:val="nl-NL"/>
        </w:rPr>
        <w:t>an</w:t>
      </w:r>
      <w:proofErr w:type="spellEnd"/>
      <w:r w:rsidRPr="00B55F82">
        <w:rPr>
          <w:rFonts w:ascii="Calibri" w:eastAsia="Arial" w:hAnsi="Calibri" w:cs="Calibri"/>
          <w:lang w:val="nl-NL"/>
        </w:rPr>
        <w:t xml:space="preserve"> </w:t>
      </w:r>
      <w:proofErr w:type="spellStart"/>
      <w:r w:rsidRPr="00B55F82">
        <w:rPr>
          <w:rFonts w:ascii="Calibri" w:eastAsia="Arial" w:hAnsi="Calibri" w:cs="Calibri"/>
          <w:lang w:val="nl-NL"/>
        </w:rPr>
        <w:t>efficient</w:t>
      </w:r>
      <w:proofErr w:type="spellEnd"/>
      <w:r w:rsidRPr="00B55F82">
        <w:rPr>
          <w:rFonts w:ascii="Calibri" w:eastAsia="Arial" w:hAnsi="Calibri" w:cs="Calibri"/>
          <w:lang w:val="nl-NL"/>
        </w:rPr>
        <w:t xml:space="preserve"> </w:t>
      </w:r>
      <w:proofErr w:type="spellStart"/>
      <w:r w:rsidRPr="00B55F82">
        <w:rPr>
          <w:rFonts w:ascii="Calibri" w:eastAsia="Arial" w:hAnsi="Calibri" w:cs="Calibri"/>
          <w:lang w:val="nl-NL"/>
        </w:rPr>
        <w:t>and</w:t>
      </w:r>
      <w:proofErr w:type="spellEnd"/>
      <w:r w:rsidRPr="00B55F82">
        <w:rPr>
          <w:rFonts w:ascii="Calibri" w:eastAsia="Arial" w:hAnsi="Calibri" w:cs="Calibri"/>
          <w:lang w:val="nl-NL"/>
        </w:rPr>
        <w:t xml:space="preserve"> </w:t>
      </w:r>
      <w:proofErr w:type="spellStart"/>
      <w:r w:rsidRPr="00B55F82">
        <w:rPr>
          <w:rFonts w:ascii="Calibri" w:eastAsia="Arial" w:hAnsi="Calibri" w:cs="Calibri"/>
          <w:lang w:val="nl-NL"/>
        </w:rPr>
        <w:t>sustainable</w:t>
      </w:r>
      <w:proofErr w:type="spellEnd"/>
      <w:r w:rsidRPr="00B55F82">
        <w:rPr>
          <w:rFonts w:ascii="Calibri" w:eastAsia="Arial" w:hAnsi="Calibri" w:cs="Calibri"/>
          <w:lang w:val="nl-NL"/>
        </w:rPr>
        <w:t xml:space="preserve"> </w:t>
      </w:r>
      <w:proofErr w:type="spellStart"/>
      <w:r w:rsidRPr="00B55F82">
        <w:rPr>
          <w:rFonts w:ascii="Calibri" w:eastAsia="Arial" w:hAnsi="Calibri" w:cs="Calibri"/>
          <w:lang w:val="nl-NL"/>
        </w:rPr>
        <w:t>future</w:t>
      </w:r>
      <w:proofErr w:type="spellEnd"/>
      <w:r w:rsidRPr="00B55F82">
        <w:rPr>
          <w:rFonts w:ascii="Calibri" w:eastAsia="Arial" w:hAnsi="Calibri" w:cs="Calibri"/>
          <w:lang w:val="nl-NL"/>
        </w:rPr>
        <w:t xml:space="preserve"> of </w:t>
      </w:r>
      <w:proofErr w:type="spellStart"/>
      <w:r w:rsidRPr="00B55F82">
        <w:rPr>
          <w:rFonts w:ascii="Calibri" w:eastAsia="Arial" w:hAnsi="Calibri" w:cs="Calibri"/>
          <w:lang w:val="nl-NL"/>
        </w:rPr>
        <w:t>mobility</w:t>
      </w:r>
      <w:proofErr w:type="spellEnd"/>
      <w:r w:rsidRPr="00B55F82">
        <w:rPr>
          <w:rFonts w:ascii="Calibri" w:eastAsia="Arial" w:hAnsi="Calibri" w:cs="Calibri"/>
          <w:lang w:val="nl-NL"/>
        </w:rPr>
        <w:t>.</w:t>
      </w:r>
    </w:p>
    <w:p w14:paraId="1C628716" w14:textId="77777777" w:rsidR="00EB5310" w:rsidRPr="00B55F82" w:rsidRDefault="00EB5310" w:rsidP="00B55F82">
      <w:pPr>
        <w:spacing w:line="276" w:lineRule="auto"/>
        <w:rPr>
          <w:rFonts w:ascii="Calibri" w:eastAsia="Arial" w:hAnsi="Calibri" w:cs="Calibri"/>
          <w:lang w:val="nl-NL"/>
        </w:rPr>
      </w:pPr>
    </w:p>
    <w:p w14:paraId="0AE5261F" w14:textId="77777777" w:rsidR="00EB5310" w:rsidRPr="00B55F82" w:rsidRDefault="0012035D" w:rsidP="00B55F82">
      <w:pPr>
        <w:spacing w:line="276" w:lineRule="auto"/>
        <w:rPr>
          <w:rFonts w:ascii="Calibri" w:hAnsi="Calibri" w:cs="Calibri"/>
          <w:lang w:val="nl-NL"/>
        </w:rPr>
      </w:pPr>
      <w:r w:rsidRPr="00B55F82">
        <w:rPr>
          <w:rFonts w:ascii="Calibri" w:eastAsia="Arial" w:hAnsi="Calibri" w:cs="Calibri"/>
          <w:lang w:val="nl-NL"/>
        </w:rPr>
        <w:t>*alle gegevens per 12/2024, tenzij anders vermeld.</w:t>
      </w:r>
    </w:p>
    <w:p w14:paraId="13F41F8C" w14:textId="77777777" w:rsidR="00EB5310" w:rsidRPr="00B55F82" w:rsidRDefault="0012035D" w:rsidP="00B55F82">
      <w:pPr>
        <w:spacing w:line="276" w:lineRule="auto"/>
        <w:rPr>
          <w:rFonts w:ascii="Calibri" w:hAnsi="Calibri" w:cs="Calibri"/>
          <w:lang w:val="nl-NL"/>
        </w:rPr>
      </w:pPr>
      <w:r w:rsidRPr="00B55F82">
        <w:rPr>
          <w:rFonts w:ascii="Calibri" w:eastAsia="Arial" w:hAnsi="Calibri" w:cs="Calibri"/>
          <w:lang w:val="nl-NL"/>
        </w:rPr>
        <w:t xml:space="preserve"> </w:t>
      </w:r>
    </w:p>
    <w:p w14:paraId="446B1C80" w14:textId="77777777" w:rsidR="00B55F82" w:rsidRPr="00B55F82" w:rsidRDefault="00B55F82" w:rsidP="00B55F82">
      <w:pPr>
        <w:spacing w:line="276" w:lineRule="auto"/>
        <w:rPr>
          <w:rFonts w:ascii="Calibri" w:hAnsi="Calibri" w:cs="Calibri"/>
          <w:b/>
          <w:bCs/>
          <w:color w:val="000000" w:themeColor="text1"/>
          <w:lang w:val="nl-BE"/>
        </w:rPr>
      </w:pPr>
      <w:r w:rsidRPr="00B55F82">
        <w:rPr>
          <w:rFonts w:ascii="Calibri" w:hAnsi="Calibri" w:cs="Calibri"/>
          <w:b/>
          <w:bCs/>
          <w:color w:val="000000" w:themeColor="text1"/>
          <w:lang w:val="nl-BE"/>
        </w:rPr>
        <w:t xml:space="preserve">Contact voor de pers: </w:t>
      </w:r>
    </w:p>
    <w:p w14:paraId="5C31402D" w14:textId="77777777" w:rsidR="00B55F82" w:rsidRPr="00B55F82" w:rsidRDefault="00B55F82" w:rsidP="00B55F82">
      <w:pPr>
        <w:spacing w:line="276" w:lineRule="auto"/>
        <w:rPr>
          <w:rFonts w:ascii="Calibri" w:hAnsi="Calibri" w:cs="Calibri"/>
          <w:color w:val="000000" w:themeColor="text1"/>
        </w:rPr>
      </w:pPr>
      <w:r w:rsidRPr="00B55F82">
        <w:rPr>
          <w:rFonts w:ascii="Calibri" w:hAnsi="Calibri" w:cs="Calibri"/>
          <w:color w:val="000000" w:themeColor="text1"/>
        </w:rPr>
        <w:t xml:space="preserve">Contact DKV Mobility: Greta </w:t>
      </w:r>
      <w:proofErr w:type="spellStart"/>
      <w:r w:rsidRPr="00B55F82">
        <w:rPr>
          <w:rFonts w:ascii="Calibri" w:hAnsi="Calibri" w:cs="Calibri"/>
          <w:color w:val="000000" w:themeColor="text1"/>
        </w:rPr>
        <w:t>Lammerse</w:t>
      </w:r>
      <w:proofErr w:type="spellEnd"/>
      <w:r w:rsidRPr="00B55F82">
        <w:rPr>
          <w:rFonts w:ascii="Calibri" w:hAnsi="Calibri" w:cs="Calibri"/>
          <w:color w:val="000000" w:themeColor="text1"/>
        </w:rPr>
        <w:t xml:space="preserve">, tel.: +31 252345665, e-mail: </w:t>
      </w:r>
      <w:hyperlink r:id="rId9" w:history="1">
        <w:r w:rsidRPr="00B55F82">
          <w:rPr>
            <w:rStyle w:val="Hyperlink"/>
            <w:rFonts w:ascii="Calibri" w:hAnsi="Calibri" w:cs="Calibri"/>
            <w:color w:val="000000" w:themeColor="text1"/>
          </w:rPr>
          <w:t>Greta.Lammerse@dkv-mobility.com</w:t>
        </w:r>
      </w:hyperlink>
    </w:p>
    <w:p w14:paraId="6877EAD7" w14:textId="77777777" w:rsidR="00B55F82" w:rsidRPr="00B55F82" w:rsidRDefault="00B55F82" w:rsidP="00B55F82">
      <w:pPr>
        <w:spacing w:line="276" w:lineRule="auto"/>
        <w:rPr>
          <w:rFonts w:ascii="Calibri" w:hAnsi="Calibri" w:cs="Calibri"/>
          <w:color w:val="000000" w:themeColor="text1"/>
        </w:rPr>
      </w:pPr>
      <w:r w:rsidRPr="00B55F82">
        <w:rPr>
          <w:rFonts w:ascii="Calibri" w:hAnsi="Calibri" w:cs="Calibri"/>
          <w:color w:val="000000" w:themeColor="text1"/>
        </w:rPr>
        <w:t xml:space="preserve">PR-bureau: Square Egg Communications, Sandra Van Hauwaert, </w:t>
      </w:r>
      <w:hyperlink r:id="rId10" w:history="1">
        <w:r w:rsidRPr="00B55F82">
          <w:rPr>
            <w:rStyle w:val="Hyperlink"/>
            <w:rFonts w:ascii="Calibri" w:hAnsi="Calibri" w:cs="Calibri"/>
            <w:color w:val="000000" w:themeColor="text1"/>
          </w:rPr>
          <w:t>sandra@square-egg.be</w:t>
        </w:r>
      </w:hyperlink>
      <w:r w:rsidRPr="00B55F82">
        <w:rPr>
          <w:rFonts w:ascii="Calibri" w:hAnsi="Calibri" w:cs="Calibri"/>
          <w:color w:val="000000" w:themeColor="text1"/>
        </w:rPr>
        <w:t>, GSM 0497 251816</w:t>
      </w:r>
      <w:r w:rsidRPr="00B55F82">
        <w:rPr>
          <w:rFonts w:ascii="Calibri" w:hAnsi="Calibri" w:cs="Calibri"/>
          <w:i/>
          <w:iCs/>
          <w:color w:val="000000" w:themeColor="text1"/>
        </w:rPr>
        <w:t>.</w:t>
      </w:r>
    </w:p>
    <w:p w14:paraId="128D51E1" w14:textId="77777777" w:rsidR="00EB5310" w:rsidRPr="00B55F82" w:rsidRDefault="00EB5310" w:rsidP="00B55F82">
      <w:pPr>
        <w:spacing w:line="276" w:lineRule="auto"/>
        <w:ind w:right="1106"/>
        <w:rPr>
          <w:rFonts w:ascii="Calibri" w:eastAsia="Arial" w:hAnsi="Calibri" w:cs="Calibri"/>
          <w:i/>
          <w:iCs/>
        </w:rPr>
      </w:pPr>
    </w:p>
    <w:sectPr w:rsidR="00EB5310" w:rsidRPr="00B55F82">
      <w:headerReference w:type="even" r:id="rId11"/>
      <w:headerReference w:type="default" r:id="rId12"/>
      <w:footerReference w:type="even" r:id="rId13"/>
      <w:footerReference w:type="default" r:id="rId14"/>
      <w:headerReference w:type="first" r:id="rId15"/>
      <w:footerReference w:type="first" r:id="rId16"/>
      <w:pgSz w:w="11906" w:h="16838"/>
      <w:pgMar w:top="1956" w:right="990" w:bottom="1644" w:left="130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3B2A3" w14:textId="77777777" w:rsidR="00CA5370" w:rsidRDefault="00CA5370">
      <w:r>
        <w:separator/>
      </w:r>
    </w:p>
  </w:endnote>
  <w:endnote w:type="continuationSeparator" w:id="0">
    <w:p w14:paraId="3BDAA539" w14:textId="77777777" w:rsidR="00CA5370" w:rsidRDefault="00CA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F2E4" w14:textId="77777777" w:rsidR="00D31DEF" w:rsidRDefault="00D31D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ECAE" w14:textId="77777777" w:rsidR="00EB5310" w:rsidRDefault="00EB5310">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9550" w14:textId="77777777" w:rsidR="00D31DEF" w:rsidRDefault="00D31D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F6249" w14:textId="77777777" w:rsidR="00CA5370" w:rsidRDefault="00CA5370">
      <w:r>
        <w:separator/>
      </w:r>
    </w:p>
  </w:footnote>
  <w:footnote w:type="continuationSeparator" w:id="0">
    <w:p w14:paraId="325D441A" w14:textId="77777777" w:rsidR="00CA5370" w:rsidRDefault="00CA5370">
      <w:r>
        <w:continuationSeparator/>
      </w:r>
    </w:p>
  </w:footnote>
  <w:footnote w:id="1">
    <w:p w14:paraId="20C1D9F7" w14:textId="77777777" w:rsidR="00EB5310" w:rsidRPr="0012035D" w:rsidRDefault="0012035D">
      <w:pPr>
        <w:rPr>
          <w:rFonts w:ascii="Arial" w:eastAsia="Arial" w:hAnsi="Arial" w:cs="Arial"/>
          <w:color w:val="000000"/>
          <w:sz w:val="16"/>
          <w:szCs w:val="16"/>
          <w:vertAlign w:val="superscript"/>
          <w:lang w:val="nl-NL"/>
        </w:rPr>
      </w:pPr>
      <w:r>
        <w:rPr>
          <w:rStyle w:val="Voetnootmarkering"/>
          <w:rFonts w:ascii="Arial" w:eastAsia="Arial" w:hAnsi="Arial" w:cs="Arial"/>
          <w:color w:val="000000"/>
          <w:sz w:val="16"/>
          <w:szCs w:val="16"/>
        </w:rPr>
        <w:footnoteRef/>
      </w:r>
      <w:r w:rsidRPr="0012035D">
        <w:rPr>
          <w:rFonts w:ascii="Arial" w:eastAsia="Arial" w:hAnsi="Arial" w:cs="Arial"/>
          <w:sz w:val="16"/>
          <w:szCs w:val="16"/>
          <w:lang w:val="nl-NL"/>
        </w:rPr>
        <w:t xml:space="preserve"> CO</w:t>
      </w:r>
      <w:r w:rsidRPr="0012035D">
        <w:rPr>
          <w:rFonts w:ascii="Arial" w:eastAsia="Arial" w:hAnsi="Arial" w:cs="Arial"/>
          <w:sz w:val="16"/>
          <w:szCs w:val="16"/>
          <w:vertAlign w:val="subscript"/>
          <w:lang w:val="nl-NL"/>
        </w:rPr>
        <w:t>2</w:t>
      </w:r>
      <w:r w:rsidRPr="0012035D">
        <w:rPr>
          <w:rFonts w:ascii="Arial" w:eastAsia="Arial" w:hAnsi="Arial" w:cs="Arial"/>
          <w:sz w:val="16"/>
          <w:szCs w:val="16"/>
          <w:lang w:val="nl-NL"/>
        </w:rPr>
        <w:t>-equivalent: Maateenheid voor het kwantificeren en vergelijken van de effecten van uiteenlopende broeikasgassen op klimaatverandering. CO</w:t>
      </w:r>
      <w:r w:rsidRPr="0012035D">
        <w:rPr>
          <w:rFonts w:ascii="Arial" w:eastAsia="Arial" w:hAnsi="Arial" w:cs="Arial"/>
          <w:sz w:val="16"/>
          <w:szCs w:val="16"/>
          <w:vertAlign w:val="subscript"/>
          <w:lang w:val="nl-NL"/>
        </w:rPr>
        <w:t xml:space="preserve">2 </w:t>
      </w:r>
      <w:r w:rsidRPr="0012035D">
        <w:rPr>
          <w:rFonts w:ascii="Arial" w:eastAsia="Arial" w:hAnsi="Arial" w:cs="Arial"/>
          <w:sz w:val="16"/>
          <w:szCs w:val="16"/>
          <w:lang w:val="nl-NL"/>
        </w:rPr>
        <w:t>brengt verschillende broeikasgassen onder één noemer op basis van hun respectievelijke bijdrage aan het broeikaseffect ten opzichte van kooldioxide (CO</w:t>
      </w:r>
      <w:r w:rsidRPr="0012035D">
        <w:rPr>
          <w:rFonts w:ascii="Arial" w:eastAsia="Arial" w:hAnsi="Arial" w:cs="Arial"/>
          <w:sz w:val="16"/>
          <w:szCs w:val="16"/>
          <w:vertAlign w:val="subscript"/>
          <w:lang w:val="nl-NL"/>
        </w:rPr>
        <w:t>2</w:t>
      </w:r>
      <w:r w:rsidRPr="0012035D">
        <w:rPr>
          <w:rFonts w:ascii="Arial" w:eastAsia="Arial" w:hAnsi="Arial" w:cs="Arial"/>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2CE0" w14:textId="77777777" w:rsidR="00D31DEF" w:rsidRDefault="00D31D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022AA" w14:textId="77777777" w:rsidR="00EB5310" w:rsidRDefault="00EB5310">
    <w:pPr>
      <w:rPr>
        <w:rFonts w:ascii="Arial" w:eastAsia="Arial" w:hAnsi="Arial" w:cs="Arial"/>
        <w:b/>
        <w:bCs/>
        <w:sz w:val="28"/>
        <w:szCs w:val="28"/>
      </w:rPr>
    </w:pPr>
  </w:p>
  <w:p w14:paraId="6EFE9DC9" w14:textId="77777777" w:rsidR="00EB5310" w:rsidRDefault="00EB5310">
    <w:pPr>
      <w:rPr>
        <w:rFonts w:ascii="Arial" w:eastAsia="Arial" w:hAnsi="Arial" w:cs="Arial"/>
        <w:b/>
        <w:bCs/>
        <w:sz w:val="28"/>
        <w:szCs w:val="28"/>
      </w:rPr>
    </w:pPr>
  </w:p>
  <w:p w14:paraId="38F8138B" w14:textId="77777777" w:rsidR="00EB5310" w:rsidRDefault="0012035D">
    <w:pPr>
      <w:rPr>
        <w:sz w:val="36"/>
        <w:szCs w:val="36"/>
      </w:rPr>
    </w:pPr>
    <w:r>
      <w:rPr>
        <w:sz w:val="36"/>
        <w:szCs w:val="36"/>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503D7" w14:textId="77777777" w:rsidR="00D31DEF" w:rsidRDefault="00D31DE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310"/>
    <w:rsid w:val="0012035D"/>
    <w:rsid w:val="002D2856"/>
    <w:rsid w:val="00674159"/>
    <w:rsid w:val="007D5F44"/>
    <w:rsid w:val="00B55F82"/>
    <w:rsid w:val="00BD17EC"/>
    <w:rsid w:val="00CA5370"/>
    <w:rsid w:val="00D31DEF"/>
    <w:rsid w:val="00EB53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617DE"/>
  <w15:docId w15:val="{A7655317-0C4D-1A44-BC22-A3ADB842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BCE"/>
  </w:style>
  <w:style w:type="paragraph" w:styleId="Kop1">
    <w:name w:val="heading 1"/>
    <w:basedOn w:val="Standaard"/>
    <w:next w:val="Standaard"/>
    <w:link w:val="Kop1Char"/>
    <w:uiPriority w:val="9"/>
    <w:qFormat/>
    <w:rsid w:val="00506D7A"/>
    <w:pPr>
      <w:keepNext/>
      <w:keepLines/>
      <w:spacing w:before="240"/>
      <w:outlineLvl w:val="0"/>
    </w:pPr>
    <w:rPr>
      <w:b/>
      <w:bCs/>
      <w:color w:val="2F5496"/>
      <w:kern w:val="36"/>
      <w:sz w:val="48"/>
      <w:szCs w:val="48"/>
    </w:rPr>
  </w:style>
  <w:style w:type="paragraph" w:styleId="Kop2">
    <w:name w:val="heading 2"/>
    <w:basedOn w:val="Standaard"/>
    <w:next w:val="Standaard"/>
    <w:link w:val="Kop2Char"/>
    <w:uiPriority w:val="9"/>
    <w:qFormat/>
    <w:rsid w:val="00506D7A"/>
    <w:pPr>
      <w:keepNext/>
      <w:keepLines/>
      <w:spacing w:before="40"/>
      <w:outlineLvl w:val="1"/>
    </w:pPr>
    <w:rPr>
      <w:b/>
      <w:bCs/>
      <w:color w:val="2F5496"/>
      <w:sz w:val="36"/>
      <w:szCs w:val="36"/>
    </w:rPr>
  </w:style>
  <w:style w:type="paragraph" w:styleId="Kop3">
    <w:name w:val="heading 3"/>
    <w:basedOn w:val="Standaard"/>
    <w:next w:val="Standaard"/>
    <w:link w:val="Kop3Char"/>
    <w:uiPriority w:val="9"/>
    <w:qFormat/>
    <w:rsid w:val="00506D7A"/>
    <w:pPr>
      <w:keepNext/>
      <w:keepLines/>
      <w:spacing w:before="40"/>
      <w:outlineLvl w:val="2"/>
    </w:pPr>
    <w:rPr>
      <w:b/>
      <w:bCs/>
      <w:color w:val="1F3763"/>
      <w:sz w:val="28"/>
      <w:szCs w:val="28"/>
    </w:rPr>
  </w:style>
  <w:style w:type="paragraph" w:styleId="Kop4">
    <w:name w:val="heading 4"/>
    <w:basedOn w:val="Standaard"/>
    <w:next w:val="Standaard"/>
    <w:link w:val="Kop4Char"/>
    <w:uiPriority w:val="9"/>
    <w:qFormat/>
    <w:rsid w:val="00506D7A"/>
    <w:pPr>
      <w:keepNext/>
      <w:keepLines/>
      <w:spacing w:before="40"/>
      <w:outlineLvl w:val="3"/>
    </w:pPr>
    <w:rPr>
      <w:b/>
      <w:bCs/>
      <w:iCs/>
      <w:color w:val="2F5496"/>
      <w:sz w:val="24"/>
      <w:szCs w:val="24"/>
    </w:rPr>
  </w:style>
  <w:style w:type="paragraph" w:styleId="Kop5">
    <w:name w:val="heading 5"/>
    <w:basedOn w:val="Standaard"/>
    <w:next w:val="Standaard"/>
    <w:link w:val="Kop5Char"/>
    <w:uiPriority w:val="9"/>
    <w:qFormat/>
    <w:rsid w:val="00506D7A"/>
    <w:pPr>
      <w:keepNext/>
      <w:keepLines/>
      <w:spacing w:before="40"/>
      <w:outlineLvl w:val="4"/>
    </w:pPr>
    <w:rPr>
      <w:b/>
      <w:bCs/>
      <w:color w:val="2F5496"/>
    </w:rPr>
  </w:style>
  <w:style w:type="paragraph" w:styleId="Kop6">
    <w:name w:val="heading 6"/>
    <w:basedOn w:val="Standaard"/>
    <w:next w:val="Standaard"/>
    <w:link w:val="Kop6Char"/>
    <w:uiPriority w:val="9"/>
    <w:qFormat/>
    <w:rsid w:val="00506D7A"/>
    <w:pPr>
      <w:keepNext/>
      <w:keepLines/>
      <w:spacing w:before="40"/>
      <w:outlineLvl w:val="5"/>
    </w:pPr>
    <w:rPr>
      <w:b/>
      <w:bCs/>
      <w:color w:val="1F3763"/>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 w:type="character" w:styleId="Voetnootmarkering">
    <w:name w:val="footnote reference"/>
    <w:basedOn w:val="Standaardalinea-lettertype"/>
    <w:rsid w:val="00805BCE"/>
    <w:rPr>
      <w:vertAlign w:val="superscript"/>
    </w:rPr>
  </w:style>
  <w:style w:type="paragraph" w:styleId="Voetnoottekst">
    <w:name w:val="footnote text"/>
    <w:basedOn w:val="Standaard"/>
    <w:link w:val="VoetnoottekstChar"/>
    <w:uiPriority w:val="99"/>
    <w:rsid w:val="000F3DF7"/>
  </w:style>
  <w:style w:type="character" w:customStyle="1" w:styleId="VoetnoottekstChar">
    <w:name w:val="Voetnoottekst Char"/>
    <w:basedOn w:val="Standaardalinea-lettertype"/>
    <w:link w:val="Voetnoottekst"/>
    <w:uiPriority w:val="99"/>
    <w:rsid w:val="000F3DF7"/>
    <w:rPr>
      <w:sz w:val="20"/>
      <w:szCs w:val="20"/>
    </w:rPr>
  </w:style>
  <w:style w:type="character" w:styleId="Verwijzingopmerking">
    <w:name w:val="annotation reference"/>
    <w:basedOn w:val="Standaardalinea-lettertype"/>
    <w:uiPriority w:val="99"/>
    <w:rsid w:val="000F3DF7"/>
    <w:rPr>
      <w:sz w:val="16"/>
      <w:szCs w:val="16"/>
    </w:rPr>
  </w:style>
  <w:style w:type="paragraph" w:styleId="Tekstopmerking">
    <w:name w:val="annotation text"/>
    <w:basedOn w:val="Standaard"/>
    <w:link w:val="TekstopmerkingChar"/>
    <w:uiPriority w:val="99"/>
    <w:semiHidden/>
    <w:unhideWhenUsed/>
  </w:style>
  <w:style w:type="character" w:customStyle="1" w:styleId="TekstopmerkingChar">
    <w:name w:val="Tekst opmerking Char"/>
    <w:basedOn w:val="Standaardalinea-lettertype"/>
    <w:link w:val="Tekstopmerking"/>
    <w:uiPriority w:val="99"/>
    <w:semiHidden/>
  </w:style>
  <w:style w:type="paragraph" w:styleId="Koptekst">
    <w:name w:val="header"/>
    <w:basedOn w:val="Standaard"/>
    <w:link w:val="KoptekstChar"/>
    <w:uiPriority w:val="99"/>
    <w:unhideWhenUsed/>
    <w:rsid w:val="00D31DEF"/>
    <w:pPr>
      <w:tabs>
        <w:tab w:val="center" w:pos="4536"/>
        <w:tab w:val="right" w:pos="9072"/>
      </w:tabs>
    </w:pPr>
  </w:style>
  <w:style w:type="character" w:customStyle="1" w:styleId="KoptekstChar">
    <w:name w:val="Koptekst Char"/>
    <w:basedOn w:val="Standaardalinea-lettertype"/>
    <w:link w:val="Koptekst"/>
    <w:uiPriority w:val="99"/>
    <w:rsid w:val="00D31DEF"/>
  </w:style>
  <w:style w:type="paragraph" w:styleId="Voettekst">
    <w:name w:val="footer"/>
    <w:basedOn w:val="Standaard"/>
    <w:link w:val="VoettekstChar"/>
    <w:uiPriority w:val="99"/>
    <w:unhideWhenUsed/>
    <w:rsid w:val="00D31DEF"/>
    <w:pPr>
      <w:tabs>
        <w:tab w:val="center" w:pos="4536"/>
        <w:tab w:val="right" w:pos="9072"/>
      </w:tabs>
    </w:pPr>
  </w:style>
  <w:style w:type="character" w:customStyle="1" w:styleId="VoettekstChar">
    <w:name w:val="Voettekst Char"/>
    <w:basedOn w:val="Standaardalinea-lettertype"/>
    <w:link w:val="Voettekst"/>
    <w:uiPriority w:val="99"/>
    <w:rsid w:val="00D31DEF"/>
  </w:style>
  <w:style w:type="character" w:styleId="Hyperlink">
    <w:name w:val="Hyperlink"/>
    <w:basedOn w:val="Standaardalinea-lettertype"/>
    <w:uiPriority w:val="99"/>
    <w:unhideWhenUsed/>
    <w:rsid w:val="00B55F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kv-mobility.com/n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sandra@square-egg.be" TargetMode="External"/><Relationship Id="rId4" Type="http://schemas.openxmlformats.org/officeDocument/2006/relationships/footnotes" Target="footnotes.xml"/><Relationship Id="rId9" Type="http://schemas.openxmlformats.org/officeDocument/2006/relationships/hyperlink" Target="mailto:Greta.Lammerse@dkv-mobility.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3937</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cp:lastModifiedBy>
  <cp:revision>2</cp:revision>
  <dcterms:created xsi:type="dcterms:W3CDTF">2025-03-19T16:16:00Z</dcterms:created>
  <dcterms:modified xsi:type="dcterms:W3CDTF">2025-03-19T16:16:00Z</dcterms:modified>
</cp:coreProperties>
</file>